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300" w:lineRule="atLeast"/>
      </w:pP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style30"/>
        <w:spacing w:line="360" w:lineRule="auto"/>
        <w:ind w:firstLine="708" w:left="0" w:right="0"/>
      </w:pPr>
      <w:r>
        <w:rPr>
          <w:b/>
          <w:i w:val="false"/>
          <w:sz w:val="22"/>
          <w:szCs w:val="22"/>
        </w:rPr>
        <w:t>TRASLADOS INTERJURISDICCIONALES DEFINITIVOS</w:t>
      </w:r>
    </w:p>
    <w:p>
      <w:pPr>
        <w:pStyle w:val="style30"/>
        <w:numPr>
          <w:ilvl w:val="0"/>
          <w:numId w:val="1"/>
        </w:numPr>
        <w:spacing w:line="360" w:lineRule="auto"/>
      </w:pPr>
      <w:r>
        <w:rPr>
          <w:b/>
          <w:i w:val="false"/>
          <w:sz w:val="22"/>
          <w:szCs w:val="22"/>
        </w:rPr>
        <w:t>ALCANCE</w:t>
      </w:r>
    </w:p>
    <w:p>
      <w:pPr>
        <w:pStyle w:val="style30"/>
        <w:spacing w:line="360" w:lineRule="auto"/>
        <w:ind w:firstLine="360" w:left="720" w:right="0"/>
      </w:pPr>
      <w:r>
        <w:rPr>
          <w:i w:val="false"/>
          <w:sz w:val="22"/>
          <w:szCs w:val="22"/>
        </w:rPr>
        <w:t>Podrán ejercer el derecho a traslados interjurisdiccionales, aquellos docentes titulares que demuestren necesidades fehacientemente comprobables de unidad y sustento del grupo familiar o de tratamiento para su salud.</w:t>
      </w:r>
    </w:p>
    <w:p>
      <w:pPr>
        <w:pStyle w:val="style29"/>
        <w:numPr>
          <w:ilvl w:val="0"/>
          <w:numId w:val="1"/>
        </w:numPr>
        <w:spacing w:line="360" w:lineRule="auto"/>
        <w:jc w:val="both"/>
      </w:pPr>
      <w:r>
        <w:rPr>
          <w:b/>
          <w:bCs/>
          <w:i w:val="false"/>
          <w:sz w:val="22"/>
          <w:szCs w:val="22"/>
          <w:lang w:val="es-UY"/>
        </w:rPr>
        <w:t>REQUISITOS QUE DEBE ACREDITAR EL DOCENTE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Ser docente titular en su jurisdicción</w:t>
      </w:r>
      <w:r>
        <w:rPr>
          <w:b/>
          <w:bCs/>
          <w:i w:val="false"/>
          <w:sz w:val="22"/>
          <w:szCs w:val="22"/>
          <w:lang w:val="es-UY"/>
        </w:rPr>
        <w:t xml:space="preserve"> </w:t>
      </w:r>
      <w:r>
        <w:rPr>
          <w:bCs/>
          <w:i w:val="false"/>
          <w:sz w:val="22"/>
          <w:szCs w:val="22"/>
          <w:lang w:val="es-UY"/>
        </w:rPr>
        <w:t>en establecimientos</w:t>
      </w:r>
      <w:r>
        <w:rPr>
          <w:b/>
          <w:bCs/>
          <w:i w:val="false"/>
          <w:sz w:val="22"/>
          <w:szCs w:val="22"/>
          <w:lang w:val="es-UY"/>
        </w:rPr>
        <w:t xml:space="preserve"> </w:t>
      </w:r>
      <w:r>
        <w:rPr>
          <w:bCs/>
          <w:i w:val="false"/>
          <w:sz w:val="22"/>
          <w:szCs w:val="22"/>
          <w:lang w:val="es-UY"/>
        </w:rPr>
        <w:t>oficiales públicos de gestión estatal.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Revistar en un cargo de base titular.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No estar en situación de revista pasiva o cambio de funciones por razones de salud.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No encontrarse involucrado en ningún sumario administrativo, ni proceso judicial que impida el traslado.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Poseer concepto profesional no inferior a Muy Bueno o equivalente en los dos últimos años en los que hubiere sido calificado.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Acreditar la necesidad de traslado con la documentación correspondiente de su grupo familiar o de los organismos oficiales de atención y control de salud, con las especificaciones de residencia real o potencial en la provincia a la que se desea trasladar.</w:t>
      </w:r>
    </w:p>
    <w:p>
      <w:pPr>
        <w:pStyle w:val="style29"/>
        <w:numPr>
          <w:ilvl w:val="0"/>
          <w:numId w:val="2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Tramitar y presentar la certificación de servicios de la provincia de origen.</w:t>
      </w:r>
    </w:p>
    <w:p>
      <w:pPr>
        <w:pStyle w:val="style29"/>
        <w:spacing w:line="360" w:lineRule="auto"/>
        <w:ind w:hanging="0" w:left="720" w:right="0"/>
        <w:jc w:val="both"/>
      </w:pPr>
      <w:r>
        <w:rPr>
          <w:bCs/>
          <w:i w:val="false"/>
          <w:sz w:val="22"/>
          <w:szCs w:val="22"/>
          <w:lang w:val="es-UY"/>
        </w:rPr>
      </w:r>
    </w:p>
    <w:p>
      <w:pPr>
        <w:pStyle w:val="style29"/>
        <w:numPr>
          <w:ilvl w:val="0"/>
          <w:numId w:val="1"/>
        </w:numPr>
        <w:spacing w:line="360" w:lineRule="auto"/>
        <w:jc w:val="both"/>
      </w:pPr>
      <w:r>
        <w:rPr>
          <w:b/>
          <w:bCs/>
          <w:i w:val="false"/>
          <w:sz w:val="22"/>
          <w:szCs w:val="22"/>
          <w:lang w:val="es-UY"/>
        </w:rPr>
        <w:t xml:space="preserve">DOCUMENTACIÓN REQUERIDA PARA INICIAR EL TRÁMITE  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Formulario de solicitud de Traslado Interjurisdiccional.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Constancia que acredite las causales del traslado, por ejemplo certificado laboral del cónyuge, certificados de organismos oficiales que acrediten el tratamiento para la salud del docente y/o de su grupo familiar primario.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Fotocopia autenticada de DNI.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Fotocopia autenticada de Título/s y Certificado/s Analítico/s (legalizado por el Ministerio del Interior).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Certificación de Servicios legalizada por el Ministerio del Interior.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Fotocopia autenticada de los dos (2) últimos años del Concepto Profesional docente.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Certificado de Aptitud Psicofísica.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Certificado de Antecedentes.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Constancia que acredite que el docente no posee sumarios ni sanciones  pendientes.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Manifestación expresa de aceptación del régimen laboral y salarial del nuevo cargo en la jurisdicción de destino, y de los derechos y obligaciones establecidos en su nuevo marco normativo de trabajo.</w:t>
      </w:r>
    </w:p>
    <w:p>
      <w:pPr>
        <w:pStyle w:val="style29"/>
        <w:numPr>
          <w:ilvl w:val="0"/>
          <w:numId w:val="3"/>
        </w:numPr>
        <w:spacing w:line="360" w:lineRule="auto"/>
        <w:jc w:val="both"/>
      </w:pPr>
      <w:r>
        <w:rPr>
          <w:bCs/>
          <w:i w:val="false"/>
          <w:sz w:val="22"/>
          <w:szCs w:val="22"/>
          <w:lang w:val="es-UY"/>
        </w:rPr>
        <w:t>Consentimiento de rebaja de categoría o jerarquía si correspondiere.</w:t>
      </w:r>
    </w:p>
    <w:p>
      <w:pPr>
        <w:pStyle w:val="style29"/>
        <w:spacing w:line="360" w:lineRule="auto"/>
        <w:ind w:hanging="0" w:left="708" w:right="0"/>
        <w:jc w:val="both"/>
      </w:pPr>
      <w:r>
        <w:rPr>
          <w:bCs/>
          <w:i w:val="false"/>
          <w:sz w:val="22"/>
          <w:szCs w:val="22"/>
          <w:lang w:val="es-UY"/>
        </w:rPr>
      </w:r>
    </w:p>
    <w:p>
      <w:pPr>
        <w:pStyle w:val="style0"/>
        <w:spacing w:after="200" w:before="0" w:line="100" w:lineRule="atLeast"/>
      </w:pPr>
      <w:r>
        <w:rPr/>
      </w:r>
    </w:p>
    <w:sectPr>
      <w:type w:val="nextPage"/>
      <w:pgSz w:h="20160" w:w="12240"/>
      <w:pgMar w:bottom="1418" w:footer="0" w:gutter="0" w:header="0" w:left="1701" w:right="1701" w:top="141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>
        <w:b/>
      </w:rPr>
    </w:lvl>
    <w:lvl w:ilvl="1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  <w:b/>
      </w:rPr>
    </w:lvl>
    <w:lvl w:ilvl="2">
      <w:start w:val="1"/>
      <w:numFmt w:val="lowerLetter"/>
      <w:lvlText w:val="%2.%3)"/>
      <w:lvlJc w:val="left"/>
      <w:pPr>
        <w:tabs>
          <w:tab w:pos="2700" w:val="num"/>
        </w:tabs>
        <w:ind w:hanging="360" w:left="2700"/>
      </w:pPr>
      <w:rPr>
        <w:b w:val="false"/>
      </w:rPr>
    </w:lvl>
    <w:lvl w:ilvl="3">
      <w:start w:val="10"/>
      <w:numFmt w:val="upperLetter"/>
      <w:lvlText w:val="%2.%3.%4)"/>
      <w:lvlJc w:val="left"/>
      <w:pPr>
        <w:tabs>
          <w:tab w:pos="3240" w:val="num"/>
        </w:tabs>
        <w:ind w:hanging="360" w:left="3240"/>
      </w:pPr>
      <w:rPr/>
    </w:lvl>
    <w:lvl w:ilvl="4">
      <w:start w:val="1"/>
      <w:numFmt w:val="lowerLetter"/>
      <w:lvlText w:val="%2.%3.%4.%5."/>
      <w:lvlJc w:val="left"/>
      <w:pPr>
        <w:tabs>
          <w:tab w:pos="3960" w:val="num"/>
        </w:tabs>
        <w:ind w:hanging="360" w:left="3960"/>
      </w:pPr>
      <w:rPr/>
    </w:lvl>
    <w:lvl w:ilvl="5">
      <w:start w:val="1"/>
      <w:numFmt w:val="lowerRoman"/>
      <w:lvlText w:val="%2.%3.%4.%5.%6."/>
      <w:lvlJc w:val="right"/>
      <w:pPr>
        <w:tabs>
          <w:tab w:pos="4680" w:val="num"/>
        </w:tabs>
        <w:ind w:hanging="180" w:left="4680"/>
      </w:pPr>
      <w:rPr/>
    </w:lvl>
    <w:lvl w:ilvl="6">
      <w:start w:val="1"/>
      <w:numFmt w:val="decimal"/>
      <w:lvlText w:val="%2.%3.%4.%5.%6.%7."/>
      <w:lvlJc w:val="left"/>
      <w:pPr>
        <w:tabs>
          <w:tab w:pos="5400" w:val="num"/>
        </w:tabs>
        <w:ind w:hanging="360" w:left="5400"/>
      </w:pPr>
      <w:rPr/>
    </w:lvl>
    <w:lvl w:ilvl="7">
      <w:start w:val="1"/>
      <w:numFmt w:val="lowerLetter"/>
      <w:lvlText w:val="%2.%3.%4.%5.%6.%7.%8."/>
      <w:lvlJc w:val="left"/>
      <w:pPr>
        <w:tabs>
          <w:tab w:pos="6120" w:val="num"/>
        </w:tabs>
        <w:ind w:hanging="360" w:left="6120"/>
      </w:pPr>
      <w:rPr/>
    </w:lvl>
    <w:lvl w:ilvl="8">
      <w:start w:val="1"/>
      <w:numFmt w:val="lowerRoman"/>
      <w:lvlText w:val="%2.%3.%4.%5.%6.%7.%8.%9."/>
      <w:lvlJc w:val="right"/>
      <w:pPr>
        <w:tabs>
          <w:tab w:pos="6840" w:val="num"/>
        </w:tabs>
        <w:ind w:hanging="180" w:left="68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pos="1080" w:val="num"/>
        </w:tabs>
        <w:ind w:hanging="360" w:left="1080"/>
      </w:pPr>
      <w:rPr>
        <w:b w:val="false"/>
      </w:rPr>
    </w:lvl>
    <w:lvl w:ilvl="1">
      <w:start w:val="3"/>
      <w:numFmt w:val="lowerLetter"/>
      <w:lvlText w:val="%2)"/>
      <w:lvlJc w:val="left"/>
      <w:pPr>
        <w:tabs>
          <w:tab w:pos="1800" w:val="num"/>
        </w:tabs>
        <w:ind w:hanging="360" w:left="1800"/>
      </w:pPr>
      <w:rPr/>
    </w:lvl>
    <w:lvl w:ilvl="2">
      <w:start w:val="1"/>
      <w:numFmt w:val="lowerRoman"/>
      <w:lvlText w:val="%2.%3."/>
      <w:lvlJc w:val="right"/>
      <w:pPr>
        <w:tabs>
          <w:tab w:pos="2520" w:val="num"/>
        </w:tabs>
        <w:ind w:hanging="180" w:left="2520"/>
      </w:pPr>
      <w:rPr/>
    </w:lvl>
    <w:lvl w:ilvl="3">
      <w:start w:val="1"/>
      <w:numFmt w:val="decimal"/>
      <w:lvlText w:val="%2.%3.%4."/>
      <w:lvlJc w:val="left"/>
      <w:pPr>
        <w:tabs>
          <w:tab w:pos="3240" w:val="num"/>
        </w:tabs>
        <w:ind w:hanging="360" w:left="3240"/>
      </w:pPr>
      <w:rPr/>
    </w:lvl>
    <w:lvl w:ilvl="4">
      <w:start w:val="1"/>
      <w:numFmt w:val="lowerLetter"/>
      <w:lvlText w:val="%2.%3.%4.%5."/>
      <w:lvlJc w:val="left"/>
      <w:pPr>
        <w:tabs>
          <w:tab w:pos="3960" w:val="num"/>
        </w:tabs>
        <w:ind w:hanging="360" w:left="3960"/>
      </w:pPr>
      <w:rPr/>
    </w:lvl>
    <w:lvl w:ilvl="5">
      <w:start w:val="1"/>
      <w:numFmt w:val="lowerRoman"/>
      <w:lvlText w:val="%2.%3.%4.%5.%6."/>
      <w:lvlJc w:val="right"/>
      <w:pPr>
        <w:tabs>
          <w:tab w:pos="4680" w:val="num"/>
        </w:tabs>
        <w:ind w:hanging="180" w:left="4680"/>
      </w:pPr>
      <w:rPr/>
    </w:lvl>
    <w:lvl w:ilvl="6">
      <w:start w:val="1"/>
      <w:numFmt w:val="decimal"/>
      <w:lvlText w:val="%2.%3.%4.%5.%6.%7."/>
      <w:lvlJc w:val="left"/>
      <w:pPr>
        <w:tabs>
          <w:tab w:pos="5400" w:val="num"/>
        </w:tabs>
        <w:ind w:hanging="360" w:left="5400"/>
      </w:pPr>
      <w:rPr/>
    </w:lvl>
    <w:lvl w:ilvl="7">
      <w:start w:val="1"/>
      <w:numFmt w:val="lowerLetter"/>
      <w:lvlText w:val="%2.%3.%4.%5.%6.%7.%8."/>
      <w:lvlJc w:val="left"/>
      <w:pPr>
        <w:tabs>
          <w:tab w:pos="6120" w:val="num"/>
        </w:tabs>
        <w:ind w:hanging="360" w:left="6120"/>
      </w:pPr>
      <w:rPr/>
    </w:lvl>
    <w:lvl w:ilvl="8">
      <w:start w:val="1"/>
      <w:numFmt w:val="lowerRoman"/>
      <w:lvlText w:val="%2.%3.%4.%5.%6.%7.%8.%9."/>
      <w:lvlJc w:val="right"/>
      <w:pPr>
        <w:tabs>
          <w:tab w:pos="6840" w:val="num"/>
        </w:tabs>
        <w:ind w:hanging="180" w:left="684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pos="1068" w:val="num"/>
        </w:tabs>
        <w:ind w:hanging="360" w:left="1068"/>
      </w:pPr>
      <w:rPr/>
    </w:lvl>
    <w:lvl w:ilvl="1">
      <w:start w:val="1"/>
      <w:numFmt w:val="lowerLetter"/>
      <w:lvlText w:val="%2."/>
      <w:lvlJc w:val="left"/>
      <w:pPr>
        <w:tabs>
          <w:tab w:pos="1788" w:val="num"/>
        </w:tabs>
        <w:ind w:hanging="360" w:left="1788"/>
      </w:pPr>
      <w:rPr/>
    </w:lvl>
    <w:lvl w:ilvl="2">
      <w:start w:val="1"/>
      <w:numFmt w:val="lowerRoman"/>
      <w:lvlText w:val="%2.%3."/>
      <w:lvlJc w:val="right"/>
      <w:pPr>
        <w:tabs>
          <w:tab w:pos="2508" w:val="num"/>
        </w:tabs>
        <w:ind w:hanging="180" w:left="2508"/>
      </w:pPr>
      <w:rPr/>
    </w:lvl>
    <w:lvl w:ilvl="3">
      <w:start w:val="1"/>
      <w:numFmt w:val="decimal"/>
      <w:lvlText w:val="%2.%3.%4."/>
      <w:lvlJc w:val="left"/>
      <w:pPr>
        <w:tabs>
          <w:tab w:pos="3228" w:val="num"/>
        </w:tabs>
        <w:ind w:hanging="360" w:left="3228"/>
      </w:pPr>
      <w:rPr/>
    </w:lvl>
    <w:lvl w:ilvl="4">
      <w:start w:val="1"/>
      <w:numFmt w:val="lowerLetter"/>
      <w:lvlText w:val="%2.%3.%4.%5."/>
      <w:lvlJc w:val="left"/>
      <w:pPr>
        <w:tabs>
          <w:tab w:pos="3948" w:val="num"/>
        </w:tabs>
        <w:ind w:hanging="360" w:left="3948"/>
      </w:pPr>
      <w:rPr/>
    </w:lvl>
    <w:lvl w:ilvl="5">
      <w:start w:val="1"/>
      <w:numFmt w:val="lowerRoman"/>
      <w:lvlText w:val="%2.%3.%4.%5.%6."/>
      <w:lvlJc w:val="right"/>
      <w:pPr>
        <w:tabs>
          <w:tab w:pos="4668" w:val="num"/>
        </w:tabs>
        <w:ind w:hanging="180" w:left="4668"/>
      </w:pPr>
      <w:rPr/>
    </w:lvl>
    <w:lvl w:ilvl="6">
      <w:start w:val="1"/>
      <w:numFmt w:val="decimal"/>
      <w:lvlText w:val="%2.%3.%4.%5.%6.%7."/>
      <w:lvlJc w:val="left"/>
      <w:pPr>
        <w:tabs>
          <w:tab w:pos="5388" w:val="num"/>
        </w:tabs>
        <w:ind w:hanging="360" w:left="5388"/>
      </w:pPr>
      <w:rPr/>
    </w:lvl>
    <w:lvl w:ilvl="7">
      <w:start w:val="1"/>
      <w:numFmt w:val="lowerLetter"/>
      <w:lvlText w:val="%2.%3.%4.%5.%6.%7.%8."/>
      <w:lvlJc w:val="left"/>
      <w:pPr>
        <w:tabs>
          <w:tab w:pos="6108" w:val="num"/>
        </w:tabs>
        <w:ind w:hanging="360" w:left="6108"/>
      </w:pPr>
      <w:rPr/>
    </w:lvl>
    <w:lvl w:ilvl="8">
      <w:start w:val="1"/>
      <w:numFmt w:val="lowerRoman"/>
      <w:lvlText w:val="%2.%3.%4.%5.%6.%7.%8.%9."/>
      <w:lvlJc w:val="right"/>
      <w:pPr>
        <w:tabs>
          <w:tab w:pos="6828" w:val="num"/>
        </w:tabs>
        <w:ind w:hanging="180" w:left="6828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HTML Preformatted Char"/>
    <w:basedOn w:val="style15"/>
    <w:next w:val="style16"/>
    <w:rPr>
      <w:rFonts w:ascii="Courier New" w:cs="Courier New" w:hAnsi="Courier New"/>
      <w:sz w:val="20"/>
      <w:szCs w:val="20"/>
      <w:lang w:eastAsia="es-AR"/>
    </w:rPr>
  </w:style>
  <w:style w:styleId="style17" w:type="character">
    <w:name w:val="Body Text 3 Char"/>
    <w:basedOn w:val="style15"/>
    <w:next w:val="style17"/>
    <w:rPr>
      <w:sz w:val="16"/>
      <w:szCs w:val="16"/>
      <w:lang w:eastAsia="en-US"/>
    </w:rPr>
  </w:style>
  <w:style w:styleId="style18" w:type="character">
    <w:name w:val="Body Text Indent 3 Char"/>
    <w:basedOn w:val="style15"/>
    <w:next w:val="style18"/>
    <w:rPr>
      <w:sz w:val="16"/>
      <w:szCs w:val="16"/>
      <w:lang w:eastAsia="en-US"/>
    </w:rPr>
  </w:style>
  <w:style w:styleId="style19" w:type="character">
    <w:name w:val="ListLabel 1"/>
    <w:next w:val="style19"/>
    <w:rPr>
      <w:rFonts w:cs="Times New Roman"/>
      <w:b/>
    </w:rPr>
  </w:style>
  <w:style w:styleId="style20" w:type="character">
    <w:name w:val="ListLabel 2"/>
    <w:next w:val="style20"/>
    <w:rPr>
      <w:b/>
    </w:rPr>
  </w:style>
  <w:style w:styleId="style21" w:type="character">
    <w:name w:val="ListLabel 3"/>
    <w:next w:val="style21"/>
    <w:rPr>
      <w:rFonts w:cs="Times New Roman"/>
      <w:b w:val="false"/>
    </w:rPr>
  </w:style>
  <w:style w:styleId="style22" w:type="character">
    <w:name w:val="ListLabel 4"/>
    <w:next w:val="style22"/>
    <w:rPr>
      <w:rFonts w:cs="Times New Roman"/>
    </w:rPr>
  </w:style>
  <w:style w:styleId="style23" w:type="paragraph">
    <w:name w:val="Encabezado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Cuerpo de texto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Etiqueta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HTML Preformatted"/>
    <w:basedOn w:val="style0"/>
    <w:next w:val="style2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</w:pPr>
    <w:rPr>
      <w:rFonts w:ascii="Courier New" w:cs="Courier New" w:eastAsia="Times New Roman" w:hAnsi="Courier New"/>
      <w:sz w:val="20"/>
      <w:szCs w:val="20"/>
      <w:lang w:eastAsia="es-AR"/>
    </w:rPr>
  </w:style>
  <w:style w:styleId="style29" w:type="paragraph">
    <w:name w:val="Body Text 3"/>
    <w:basedOn w:val="style0"/>
    <w:next w:val="style29"/>
    <w:pPr>
      <w:spacing w:after="0" w:before="0" w:line="100" w:lineRule="atLeast"/>
    </w:pPr>
    <w:rPr>
      <w:rFonts w:ascii="Arial" w:hAnsi="Arial"/>
      <w:i/>
      <w:sz w:val="24"/>
      <w:szCs w:val="24"/>
      <w:lang w:eastAsia="es-ES" w:val="es-MX"/>
    </w:rPr>
  </w:style>
  <w:style w:styleId="style30" w:type="paragraph">
    <w:name w:val="Body Text Indent 3"/>
    <w:basedOn w:val="style0"/>
    <w:next w:val="style30"/>
    <w:pPr>
      <w:spacing w:after="0" w:before="0" w:line="100" w:lineRule="atLeast"/>
      <w:ind w:firstLine="720" w:left="0" w:right="0"/>
      <w:jc w:val="both"/>
    </w:pPr>
    <w:rPr>
      <w:rFonts w:ascii="Arial" w:hAnsi="Arial"/>
      <w:i/>
      <w:iCs/>
      <w:sz w:val="24"/>
      <w:szCs w:val="24"/>
      <w:lang w:eastAsia="es-ES" w:val="es-UY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2012-03-22T14:53:00.00Z</dcterms:created>
  <dc:creator>Marcelo</dc:creator>
  <cp:lastModifiedBy>Colossus User</cp:lastModifiedBy>
  <cp:lastPrinted>2011-12-12T11:49:00.00Z</cp:lastPrinted>
  <dcterms:modified xsi:type="dcterms:W3CDTF">2012-03-22T14:55:00.00Z</dcterms:modified>
  <cp:revision>3</cp:revision>
  <dc:title>Zamba de don Adolfo</dc:title>
</cp:coreProperties>
</file>